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9A" w:rsidRDefault="006472E0" w:rsidP="005C7F3B">
      <w:pPr>
        <w:jc w:val="center"/>
        <w:rPr>
          <w:b/>
        </w:rPr>
      </w:pPr>
      <w:r>
        <w:rPr>
          <w:b/>
        </w:rPr>
        <w:t>Instrucciones para</w:t>
      </w:r>
      <w:r w:rsidR="00F93285" w:rsidRPr="00F93285">
        <w:rPr>
          <w:b/>
        </w:rPr>
        <w:t xml:space="preserve"> </w:t>
      </w:r>
      <w:r w:rsidR="005C7F3B">
        <w:rPr>
          <w:b/>
        </w:rPr>
        <w:t xml:space="preserve">la función de </w:t>
      </w:r>
      <w:r w:rsidR="00F93285" w:rsidRPr="00F93285">
        <w:rPr>
          <w:b/>
        </w:rPr>
        <w:t>ases</w:t>
      </w:r>
      <w:r>
        <w:rPr>
          <w:b/>
        </w:rPr>
        <w:t>oría</w:t>
      </w:r>
    </w:p>
    <w:p w:rsidR="00B364D9" w:rsidRPr="005B77CB" w:rsidRDefault="00B364D9" w:rsidP="005C7F3B">
      <w:pPr>
        <w:pStyle w:val="Prrafodelista"/>
        <w:numPr>
          <w:ilvl w:val="0"/>
          <w:numId w:val="1"/>
        </w:numPr>
        <w:spacing w:after="120"/>
        <w:jc w:val="both"/>
        <w:rPr>
          <w:b/>
        </w:rPr>
      </w:pPr>
      <w:r>
        <w:t>Todo documento debe ser recibido y devuelto por ustedes en formato Word</w:t>
      </w:r>
      <w:r w:rsidR="005B77CB">
        <w:t xml:space="preserve"> (excepto el dictamen de CTFG de los TFG de fase 1)</w:t>
      </w:r>
      <w:r>
        <w:t>.</w:t>
      </w:r>
    </w:p>
    <w:p w:rsidR="005B77CB" w:rsidRPr="005B77CB" w:rsidRDefault="005B77CB" w:rsidP="005C7F3B">
      <w:pPr>
        <w:pStyle w:val="Prrafodelista"/>
        <w:numPr>
          <w:ilvl w:val="0"/>
          <w:numId w:val="1"/>
        </w:numPr>
        <w:spacing w:after="120"/>
        <w:ind w:left="714" w:hanging="357"/>
        <w:jc w:val="both"/>
        <w:rPr>
          <w:b/>
        </w:rPr>
      </w:pPr>
      <w:r>
        <w:t xml:space="preserve">Las observaciones se realizan </w:t>
      </w:r>
      <w:r w:rsidR="00B364D9">
        <w:t>en el</w:t>
      </w:r>
      <w:r>
        <w:t xml:space="preserve"> instrumento de revisión, NO en el trabajo del estudiante.</w:t>
      </w:r>
    </w:p>
    <w:p w:rsidR="00DF1B1E" w:rsidRPr="00DF1B1E" w:rsidRDefault="005B77CB" w:rsidP="005C7F3B">
      <w:pPr>
        <w:pStyle w:val="Prrafodelista"/>
        <w:numPr>
          <w:ilvl w:val="0"/>
          <w:numId w:val="1"/>
        </w:numPr>
        <w:spacing w:after="120"/>
        <w:ind w:left="714" w:hanging="357"/>
        <w:jc w:val="both"/>
        <w:rPr>
          <w:b/>
        </w:rPr>
      </w:pPr>
      <w:r>
        <w:t xml:space="preserve"> To</w:t>
      </w:r>
      <w:r w:rsidR="00B364D9">
        <w:t xml:space="preserve">das las </w:t>
      </w:r>
      <w:r>
        <w:t xml:space="preserve">marcas </w:t>
      </w:r>
      <w:r w:rsidR="00B364D9">
        <w:t>que se ubiquen en</w:t>
      </w:r>
      <w:r>
        <w:t xml:space="preserve"> la columna de</w:t>
      </w:r>
      <w:r w:rsidR="00B364D9">
        <w:t xml:space="preserve"> </w:t>
      </w:r>
      <w:r>
        <w:t xml:space="preserve">“se </w:t>
      </w:r>
      <w:r w:rsidR="00B364D9">
        <w:t>debe mejorar</w:t>
      </w:r>
      <w:r>
        <w:t>”</w:t>
      </w:r>
      <w:r w:rsidR="00DF1B1E">
        <w:t>,</w:t>
      </w:r>
      <w:r w:rsidR="00B364D9">
        <w:t xml:space="preserve"> </w:t>
      </w:r>
      <w:r>
        <w:t>es requisito que incluyan en la “observaciones y recomendaciones para su mejora”</w:t>
      </w:r>
      <w:r w:rsidR="00B364D9">
        <w:t xml:space="preserve"> </w:t>
      </w:r>
      <w:r>
        <w:t>el</w:t>
      </w:r>
      <w:r w:rsidR="00B364D9">
        <w:t xml:space="preserve"> re</w:t>
      </w:r>
      <w:r w:rsidR="00DF1B1E">
        <w:t>spectivo comentario orientador</w:t>
      </w:r>
      <w:r>
        <w:t xml:space="preserve">. </w:t>
      </w:r>
    </w:p>
    <w:p w:rsidR="00F93285" w:rsidRPr="00DF1B1E" w:rsidRDefault="005B77CB" w:rsidP="005C7F3B">
      <w:pPr>
        <w:pStyle w:val="Prrafodelista"/>
        <w:numPr>
          <w:ilvl w:val="0"/>
          <w:numId w:val="1"/>
        </w:numPr>
        <w:spacing w:after="120"/>
        <w:ind w:left="714" w:hanging="357"/>
        <w:jc w:val="both"/>
        <w:rPr>
          <w:b/>
        </w:rPr>
      </w:pPr>
      <w:r>
        <w:t xml:space="preserve">Cada persona directora de los trabajos que les corresponde asesorar debe enviarles: </w:t>
      </w:r>
      <w:r w:rsidR="00F93285">
        <w:t>último informe de revisión</w:t>
      </w:r>
      <w:r>
        <w:t xml:space="preserve"> de asesores</w:t>
      </w:r>
      <w:r w:rsidR="00F93285">
        <w:t xml:space="preserve">, </w:t>
      </w:r>
      <w:r w:rsidR="00DF1B1E">
        <w:t>dictamen de CTFG (</w:t>
      </w:r>
      <w:r>
        <w:t>los que están en fase II</w:t>
      </w:r>
      <w:r w:rsidR="00DF1B1E">
        <w:t>), instrumento</w:t>
      </w:r>
      <w:r>
        <w:t xml:space="preserve"> de revisión</w:t>
      </w:r>
      <w:r w:rsidR="00DF1B1E">
        <w:t xml:space="preserve"> y trabajo</w:t>
      </w:r>
      <w:r>
        <w:t xml:space="preserve"> que debe revisar</w:t>
      </w:r>
      <w:r w:rsidR="00DF1B1E">
        <w:t>.</w:t>
      </w:r>
    </w:p>
    <w:p w:rsidR="005B77CB" w:rsidRPr="005B77CB" w:rsidRDefault="005B77CB" w:rsidP="005C7F3B">
      <w:pPr>
        <w:pStyle w:val="Prrafodelista"/>
        <w:numPr>
          <w:ilvl w:val="0"/>
          <w:numId w:val="1"/>
        </w:numPr>
        <w:spacing w:after="120"/>
        <w:ind w:left="714" w:hanging="357"/>
        <w:jc w:val="both"/>
        <w:rPr>
          <w:b/>
        </w:rPr>
      </w:pPr>
      <w:r>
        <w:t xml:space="preserve">Fase </w:t>
      </w:r>
      <w:r w:rsidR="00DE36FB">
        <w:t xml:space="preserve">I y </w:t>
      </w:r>
      <w:r>
        <w:t>II: Todo asesor tienen la responsabilidad de dar “acuse de recibido” a la solicitud de revisión que le envía la persona directora.</w:t>
      </w:r>
    </w:p>
    <w:p w:rsidR="00F93285" w:rsidRPr="00F93285" w:rsidRDefault="00F93285" w:rsidP="005C7F3B">
      <w:pPr>
        <w:pStyle w:val="Prrafodelista"/>
        <w:numPr>
          <w:ilvl w:val="0"/>
          <w:numId w:val="1"/>
        </w:numPr>
        <w:spacing w:after="120"/>
        <w:ind w:left="714" w:hanging="357"/>
        <w:jc w:val="both"/>
        <w:rPr>
          <w:b/>
        </w:rPr>
      </w:pPr>
      <w:r>
        <w:t xml:space="preserve">Tiempos </w:t>
      </w:r>
      <w:r w:rsidR="001809BB" w:rsidRPr="001809BB">
        <w:rPr>
          <w:u w:val="single"/>
        </w:rPr>
        <w:t>máximos</w:t>
      </w:r>
      <w:r w:rsidR="001809BB">
        <w:t xml:space="preserve"> </w:t>
      </w:r>
      <w:r>
        <w:t xml:space="preserve">para </w:t>
      </w:r>
      <w:r w:rsidR="001809BB" w:rsidRPr="001809BB">
        <w:t>devolver</w:t>
      </w:r>
      <w:r w:rsidR="001809BB">
        <w:t xml:space="preserve"> informes de revisión</w:t>
      </w:r>
      <w:r>
        <w:t>:</w:t>
      </w:r>
      <w:r w:rsidR="00864515">
        <w:t xml:space="preserve"> a partir de la fecha de envío del correo de la persona directora solicitando revisión cuentan con</w:t>
      </w:r>
      <w:r>
        <w:t xml:space="preserve"> </w:t>
      </w:r>
      <w:r w:rsidR="001809BB">
        <w:t>8 días naturales (incluye sábado y domingo) para revisión de observaciones previas y apartados avanzados y 4 días naturales (incluye sábado y domingo) para cotejos</w:t>
      </w:r>
      <w:r>
        <w:t>.</w:t>
      </w:r>
    </w:p>
    <w:p w:rsidR="00F93285" w:rsidRPr="00F93285" w:rsidRDefault="00F93285" w:rsidP="005C7F3B">
      <w:pPr>
        <w:pStyle w:val="Prrafodelista"/>
        <w:numPr>
          <w:ilvl w:val="0"/>
          <w:numId w:val="1"/>
        </w:numPr>
        <w:spacing w:after="120"/>
        <w:ind w:left="714" w:hanging="357"/>
        <w:jc w:val="both"/>
        <w:rPr>
          <w:b/>
        </w:rPr>
      </w:pPr>
      <w:r>
        <w:t xml:space="preserve">Flexibilidad: </w:t>
      </w:r>
      <w:r w:rsidR="00B73ADC">
        <w:t xml:space="preserve">las </w:t>
      </w:r>
      <w:r>
        <w:t xml:space="preserve">fechas son referentes orientadores, </w:t>
      </w:r>
      <w:r w:rsidR="001809BB">
        <w:t xml:space="preserve">las revisiones </w:t>
      </w:r>
      <w:r>
        <w:t xml:space="preserve">deben </w:t>
      </w:r>
      <w:r w:rsidR="001809BB">
        <w:t xml:space="preserve">realizarse </w:t>
      </w:r>
      <w:r w:rsidR="00B73ADC">
        <w:t>en la fecha que son solicitadas</w:t>
      </w:r>
      <w:r>
        <w:t xml:space="preserve"> por los directores. </w:t>
      </w:r>
    </w:p>
    <w:p w:rsidR="001809BB" w:rsidRPr="001809BB" w:rsidRDefault="00237BAB" w:rsidP="005C7F3B">
      <w:pPr>
        <w:pStyle w:val="Prrafodelista"/>
        <w:numPr>
          <w:ilvl w:val="0"/>
          <w:numId w:val="1"/>
        </w:numPr>
        <w:spacing w:after="120"/>
        <w:ind w:left="714" w:hanging="357"/>
        <w:jc w:val="both"/>
        <w:rPr>
          <w:b/>
        </w:rPr>
      </w:pPr>
      <w:r>
        <w:t xml:space="preserve">Particularidades que deben tomarse en cuenta: </w:t>
      </w:r>
    </w:p>
    <w:p w:rsidR="00B276D4" w:rsidRPr="00B276D4" w:rsidRDefault="00B276D4" w:rsidP="005C7F3B">
      <w:pPr>
        <w:pStyle w:val="Prrafodelista"/>
        <w:numPr>
          <w:ilvl w:val="1"/>
          <w:numId w:val="1"/>
        </w:numPr>
        <w:spacing w:after="120"/>
        <w:jc w:val="both"/>
        <w:rPr>
          <w:b/>
        </w:rPr>
      </w:pPr>
      <w:r>
        <w:t xml:space="preserve">Fijarse en los * que aparecen en los instrumentos y si </w:t>
      </w:r>
      <w:r w:rsidR="004311B7">
        <w:t xml:space="preserve">lo indicado en este aspecto </w:t>
      </w:r>
      <w:r>
        <w:t xml:space="preserve">no coincide con la modalidad o tipo de investigación </w:t>
      </w:r>
      <w:r w:rsidR="004311B7">
        <w:t xml:space="preserve">que está revisando entonces debe </w:t>
      </w:r>
      <w:r>
        <w:t xml:space="preserve">colocar </w:t>
      </w:r>
      <w:r w:rsidR="004311B7">
        <w:t>la equis</w:t>
      </w:r>
      <w:r>
        <w:t xml:space="preserve"> </w:t>
      </w:r>
      <w:r w:rsidR="004311B7">
        <w:t>(</w:t>
      </w:r>
      <w:r>
        <w:t>X</w:t>
      </w:r>
      <w:r w:rsidR="004311B7">
        <w:t>)</w:t>
      </w:r>
      <w:r>
        <w:t xml:space="preserve"> en “no aplica”. </w:t>
      </w:r>
    </w:p>
    <w:p w:rsidR="001809BB" w:rsidRPr="001809BB" w:rsidRDefault="001809BB" w:rsidP="005C7F3B">
      <w:pPr>
        <w:pStyle w:val="Prrafodelista"/>
        <w:numPr>
          <w:ilvl w:val="1"/>
          <w:numId w:val="1"/>
        </w:numPr>
        <w:spacing w:after="120"/>
        <w:jc w:val="both"/>
        <w:rPr>
          <w:b/>
        </w:rPr>
      </w:pPr>
      <w:r>
        <w:t>T</w:t>
      </w:r>
      <w:r w:rsidR="00DF1B1E">
        <w:t>riangulación</w:t>
      </w:r>
      <w:r>
        <w:t xml:space="preserve">: obligatoria </w:t>
      </w:r>
      <w:r w:rsidR="00B73ADC">
        <w:t xml:space="preserve">solamente </w:t>
      </w:r>
      <w:r>
        <w:t>en investigación cualitativa.</w:t>
      </w:r>
    </w:p>
    <w:p w:rsidR="001809BB" w:rsidRPr="001809BB" w:rsidRDefault="001809BB" w:rsidP="005C7F3B">
      <w:pPr>
        <w:pStyle w:val="Prrafodelista"/>
        <w:numPr>
          <w:ilvl w:val="1"/>
          <w:numId w:val="1"/>
        </w:numPr>
        <w:spacing w:after="120"/>
        <w:jc w:val="both"/>
        <w:rPr>
          <w:b/>
        </w:rPr>
      </w:pPr>
      <w:r>
        <w:t xml:space="preserve">Fases o etapas: </w:t>
      </w:r>
      <w:r w:rsidR="00B276D4">
        <w:t xml:space="preserve">obligatorias en </w:t>
      </w:r>
      <w:r>
        <w:t>i</w:t>
      </w:r>
      <w:r w:rsidR="00B276D4">
        <w:t>n</w:t>
      </w:r>
      <w:r>
        <w:t>v</w:t>
      </w:r>
      <w:r w:rsidR="00B276D4">
        <w:t>estigación-acción</w:t>
      </w:r>
      <w:r w:rsidR="00B73ADC">
        <w:t>.</w:t>
      </w:r>
      <w:r>
        <w:t xml:space="preserve"> </w:t>
      </w:r>
    </w:p>
    <w:p w:rsidR="00B276D4" w:rsidRPr="00843848" w:rsidRDefault="00B73ADC" w:rsidP="005C7F3B">
      <w:pPr>
        <w:pStyle w:val="Prrafodelista"/>
        <w:numPr>
          <w:ilvl w:val="1"/>
          <w:numId w:val="1"/>
        </w:numPr>
        <w:spacing w:after="120"/>
        <w:jc w:val="both"/>
        <w:rPr>
          <w:b/>
        </w:rPr>
      </w:pPr>
      <w:r>
        <w:t>Cantidad de antecedentes según modalidad y fase</w:t>
      </w:r>
      <w:r w:rsidR="00B276D4">
        <w:t xml:space="preserve">: </w:t>
      </w:r>
    </w:p>
    <w:p w:rsidR="008F2511" w:rsidRDefault="00843848" w:rsidP="008F2511">
      <w:pPr>
        <w:pStyle w:val="NormalWeb"/>
        <w:numPr>
          <w:ilvl w:val="0"/>
          <w:numId w:val="4"/>
        </w:numPr>
        <w:shd w:val="clear" w:color="auto" w:fill="FFFFFF"/>
        <w:rPr>
          <w:rFonts w:asciiTheme="minorHAnsi" w:hAnsiTheme="minorHAnsi" w:cstheme="minorBidi"/>
          <w:sz w:val="22"/>
          <w:szCs w:val="22"/>
          <w:lang w:eastAsia="en-US"/>
        </w:rPr>
      </w:pPr>
      <w:r w:rsidRPr="00843848">
        <w:rPr>
          <w:rFonts w:asciiTheme="minorHAnsi" w:hAnsiTheme="minorHAnsi" w:cstheme="minorBidi"/>
          <w:sz w:val="22"/>
          <w:szCs w:val="22"/>
          <w:lang w:eastAsia="en-US"/>
        </w:rPr>
        <w:t>I fase (anteproyecto o propuesta): Indistintamente de la moda</w:t>
      </w:r>
      <w:r w:rsidR="00904683">
        <w:rPr>
          <w:rFonts w:asciiTheme="minorHAnsi" w:hAnsiTheme="minorHAnsi" w:cstheme="minorBidi"/>
          <w:sz w:val="22"/>
          <w:szCs w:val="22"/>
          <w:lang w:eastAsia="en-US"/>
        </w:rPr>
        <w:t>lidad (tesis, seminario o proye</w:t>
      </w:r>
      <w:r w:rsidRPr="00843848">
        <w:rPr>
          <w:rFonts w:asciiTheme="minorHAnsi" w:hAnsiTheme="minorHAnsi" w:cstheme="minorBidi"/>
          <w:sz w:val="22"/>
          <w:szCs w:val="22"/>
          <w:lang w:eastAsia="en-US"/>
        </w:rPr>
        <w:t>cto) se pueden presentar entre 7 y 10 antecedentes.</w:t>
      </w:r>
    </w:p>
    <w:p w:rsidR="00843848" w:rsidRPr="008F2511" w:rsidRDefault="00843848" w:rsidP="008F2511">
      <w:pPr>
        <w:pStyle w:val="NormalWeb"/>
        <w:numPr>
          <w:ilvl w:val="0"/>
          <w:numId w:val="4"/>
        </w:numPr>
        <w:shd w:val="clear" w:color="auto" w:fill="FFFFFF"/>
        <w:rPr>
          <w:rFonts w:asciiTheme="minorHAnsi" w:hAnsiTheme="minorHAnsi" w:cstheme="minorBidi"/>
          <w:sz w:val="22"/>
          <w:szCs w:val="22"/>
          <w:lang w:eastAsia="en-US"/>
        </w:rPr>
      </w:pPr>
      <w:r w:rsidRPr="008F2511">
        <w:rPr>
          <w:rFonts w:asciiTheme="minorHAnsi" w:hAnsiTheme="minorHAnsi" w:cstheme="minorBidi"/>
          <w:sz w:val="22"/>
          <w:szCs w:val="22"/>
          <w:lang w:eastAsia="en-US"/>
        </w:rPr>
        <w:t xml:space="preserve"> II fase:</w:t>
      </w:r>
    </w:p>
    <w:p w:rsidR="007138C5" w:rsidRDefault="00843848" w:rsidP="007138C5">
      <w:pPr>
        <w:pStyle w:val="Prrafodelista"/>
        <w:spacing w:after="120"/>
        <w:ind w:left="1776"/>
        <w:jc w:val="both"/>
      </w:pPr>
      <w:r w:rsidRPr="00843848">
        <w:t>a.       Tesis o seminario: tal como se indica en la página 103 de la Unidad didáctica en relación con antecedentes: “Se basan en una cantidad suficiente de fuentes (al menos 20 fuentes)”. Por lo tanto, para el último avance de esta fase, el trabajo ya debe contar con esta cantidad de fuentes en sus antecedentes.</w:t>
      </w:r>
      <w:r w:rsidR="007138C5" w:rsidRPr="007138C5">
        <w:t xml:space="preserve"> </w:t>
      </w:r>
      <w:r w:rsidR="007138C5">
        <w:t>Deben dividirse en nacionales e internacionales, puede ser diferente cantidad de una u otra.</w:t>
      </w:r>
    </w:p>
    <w:p w:rsidR="00843848" w:rsidRPr="007138C5" w:rsidRDefault="00843848" w:rsidP="007138C5">
      <w:pPr>
        <w:pStyle w:val="Prrafodelista"/>
        <w:spacing w:after="120"/>
        <w:ind w:left="1776"/>
        <w:jc w:val="both"/>
        <w:rPr>
          <w:b/>
        </w:rPr>
      </w:pPr>
      <w:r w:rsidRPr="00843848">
        <w:t>b.       Proyecto de graduación: Para esta modalidad puede presentarse entre 7 y 10 antecedentes (con esta cantidad se concluye el informe final).</w:t>
      </w:r>
    </w:p>
    <w:p w:rsidR="00B73ADC" w:rsidRPr="00B73ADC" w:rsidRDefault="00B276D4" w:rsidP="005C7F3B">
      <w:pPr>
        <w:pStyle w:val="Prrafodelista"/>
        <w:numPr>
          <w:ilvl w:val="1"/>
          <w:numId w:val="1"/>
        </w:numPr>
        <w:spacing w:after="120"/>
        <w:jc w:val="both"/>
        <w:rPr>
          <w:b/>
        </w:rPr>
      </w:pPr>
      <w:r>
        <w:t>Formato y estilo (citación en</w:t>
      </w:r>
      <w:r w:rsidR="00B73ADC">
        <w:t xml:space="preserve"> texto y referencia): El </w:t>
      </w:r>
      <w:r>
        <w:t>referente será la unidad didáctica,</w:t>
      </w:r>
      <w:r w:rsidR="00B73ADC">
        <w:t xml:space="preserve"> capítulo #5. APA (2010) será utilizado únicamente para las referencias bibliográficas.</w:t>
      </w:r>
      <w:r>
        <w:t xml:space="preserve"> </w:t>
      </w:r>
    </w:p>
    <w:p w:rsidR="00954E97" w:rsidRPr="00954E97" w:rsidRDefault="00237BAB" w:rsidP="005C7F3B">
      <w:pPr>
        <w:pStyle w:val="Prrafodelista"/>
        <w:numPr>
          <w:ilvl w:val="1"/>
          <w:numId w:val="1"/>
        </w:numPr>
        <w:spacing w:after="120"/>
        <w:jc w:val="both"/>
        <w:rPr>
          <w:b/>
        </w:rPr>
      </w:pPr>
      <w:r>
        <w:t xml:space="preserve">Estrategia educativa: </w:t>
      </w:r>
      <w:r w:rsidR="00954E97">
        <w:t>Debe ubicarse en el apartado de “</w:t>
      </w:r>
      <w:r w:rsidR="00DF1B1E">
        <w:t>Resultados</w:t>
      </w:r>
      <w:r w:rsidR="00954E97">
        <w:t>”, solamente es para la modalidad “Proyecto de Graduación”.</w:t>
      </w:r>
    </w:p>
    <w:p w:rsidR="007138C5" w:rsidRPr="00B73ADC" w:rsidRDefault="00954E97" w:rsidP="00B564A4">
      <w:pPr>
        <w:pStyle w:val="Prrafodelista"/>
        <w:numPr>
          <w:ilvl w:val="1"/>
          <w:numId w:val="1"/>
        </w:numPr>
        <w:spacing w:after="120"/>
        <w:jc w:val="both"/>
        <w:rPr>
          <w:b/>
        </w:rPr>
      </w:pPr>
      <w:r>
        <w:t>Conclusiones: deben responder</w:t>
      </w:r>
      <w:r w:rsidR="00DF1B1E">
        <w:t xml:space="preserve"> los objetivos y </w:t>
      </w:r>
      <w:r>
        <w:t xml:space="preserve">el </w:t>
      </w:r>
      <w:r w:rsidR="00DF1B1E">
        <w:t>problema de investigación</w:t>
      </w:r>
      <w:r>
        <w:t>.</w:t>
      </w:r>
      <w:r w:rsidR="00DF1B1E">
        <w:t xml:space="preserve"> </w:t>
      </w:r>
    </w:p>
    <w:p w:rsidR="00B73ADC" w:rsidRDefault="00B73ADC" w:rsidP="00B73ADC">
      <w:pPr>
        <w:pStyle w:val="Prrafodelista"/>
        <w:spacing w:after="120"/>
        <w:ind w:left="1077"/>
        <w:jc w:val="both"/>
      </w:pPr>
    </w:p>
    <w:p w:rsidR="00B73ADC" w:rsidRDefault="00B73ADC" w:rsidP="00B73ADC">
      <w:pPr>
        <w:pStyle w:val="Prrafodelista"/>
        <w:spacing w:after="120"/>
        <w:ind w:left="1077"/>
        <w:jc w:val="both"/>
      </w:pPr>
    </w:p>
    <w:p w:rsidR="00B73ADC" w:rsidRPr="00B564A4" w:rsidRDefault="00B73ADC" w:rsidP="00B73ADC">
      <w:pPr>
        <w:pStyle w:val="Prrafodelista"/>
        <w:spacing w:after="120"/>
        <w:ind w:left="1077"/>
        <w:jc w:val="both"/>
        <w:rPr>
          <w:b/>
        </w:rPr>
      </w:pPr>
    </w:p>
    <w:p w:rsidR="00954E97" w:rsidRPr="00954E97" w:rsidRDefault="00126300" w:rsidP="005C7F3B">
      <w:pPr>
        <w:pStyle w:val="Prrafodelista"/>
        <w:numPr>
          <w:ilvl w:val="0"/>
          <w:numId w:val="1"/>
        </w:numPr>
        <w:spacing w:after="120"/>
        <w:ind w:left="714" w:hanging="357"/>
        <w:jc w:val="both"/>
        <w:rPr>
          <w:b/>
        </w:rPr>
      </w:pPr>
      <w:r>
        <w:lastRenderedPageBreak/>
        <w:t xml:space="preserve">Sobre las observaciones que hacen a los </w:t>
      </w:r>
      <w:r w:rsidR="00F93285">
        <w:t xml:space="preserve">Trabajos </w:t>
      </w:r>
    </w:p>
    <w:p w:rsidR="00954E97" w:rsidRPr="00126300" w:rsidRDefault="00B364D9" w:rsidP="005C7F3B">
      <w:pPr>
        <w:pStyle w:val="Prrafodelista"/>
        <w:numPr>
          <w:ilvl w:val="1"/>
          <w:numId w:val="1"/>
        </w:numPr>
        <w:spacing w:after="120"/>
        <w:jc w:val="both"/>
        <w:rPr>
          <w:b/>
        </w:rPr>
      </w:pPr>
      <w:r>
        <w:t xml:space="preserve">si </w:t>
      </w:r>
      <w:r w:rsidR="00126300">
        <w:t>el trabajo ya fue aprobado por la CTFG (II fase) deben limitarse a revisar que hayan sido</w:t>
      </w:r>
      <w:r>
        <w:t xml:space="preserve"> aplicadas las observaciones </w:t>
      </w:r>
      <w:r w:rsidR="00954E97">
        <w:t>emitidas por la CTFG y las indicadas en el consolidado</w:t>
      </w:r>
      <w:r w:rsidR="00126300">
        <w:t xml:space="preserve"> emitido por las personas asesoras de I fase</w:t>
      </w:r>
      <w:r w:rsidR="00954E97">
        <w:t xml:space="preserve">. </w:t>
      </w:r>
    </w:p>
    <w:p w:rsidR="00954E97" w:rsidRPr="007138C5" w:rsidRDefault="00954E97" w:rsidP="007138C5">
      <w:pPr>
        <w:pStyle w:val="Prrafodelista"/>
        <w:numPr>
          <w:ilvl w:val="1"/>
          <w:numId w:val="1"/>
        </w:numPr>
        <w:spacing w:after="120"/>
        <w:jc w:val="both"/>
        <w:rPr>
          <w:b/>
        </w:rPr>
      </w:pPr>
      <w:r>
        <w:t>En los trabajos aprobado por la CTFG, en caso de identificar algún aspecto que consideren pertinente dar una “recomendación”</w:t>
      </w:r>
      <w:r w:rsidR="00126300">
        <w:t xml:space="preserve"> para su mejora</w:t>
      </w:r>
      <w:r>
        <w:t>, deben aclarar que es para que sea valorada según criterio de la persona director</w:t>
      </w:r>
      <w:r w:rsidR="00126300">
        <w:t>a y quien</w:t>
      </w:r>
      <w:r>
        <w:t xml:space="preserve"> estará en toda la potestad</w:t>
      </w:r>
      <w:r w:rsidR="00126300">
        <w:t xml:space="preserve"> de aplicar la recomendación u omitirla.</w:t>
      </w:r>
      <w:r>
        <w:t xml:space="preserve">  </w:t>
      </w:r>
    </w:p>
    <w:p w:rsidR="00126300" w:rsidRPr="00126300" w:rsidRDefault="00126300" w:rsidP="005C7F3B">
      <w:pPr>
        <w:pStyle w:val="Prrafodelista"/>
        <w:numPr>
          <w:ilvl w:val="1"/>
          <w:numId w:val="1"/>
        </w:numPr>
        <w:spacing w:after="120"/>
        <w:jc w:val="both"/>
        <w:rPr>
          <w:b/>
        </w:rPr>
      </w:pPr>
      <w:r>
        <w:t xml:space="preserve">No deben revisar trabajos que les sean enviados solamente la parte que les corresponde revisar según el avance (ejemplo: solo el marco metodológico, sin el resto de los apartados del trabajo) en este caso deben devolverlo a la persona directora y solicitarle que le envíe el trabajo “completo”.   </w:t>
      </w:r>
    </w:p>
    <w:p w:rsidR="00B364D9" w:rsidRPr="00DF1B1E" w:rsidRDefault="00B364D9" w:rsidP="005C7F3B">
      <w:pPr>
        <w:pStyle w:val="Prrafodelista"/>
        <w:numPr>
          <w:ilvl w:val="0"/>
          <w:numId w:val="1"/>
        </w:numPr>
        <w:spacing w:after="120"/>
        <w:ind w:left="714" w:hanging="357"/>
        <w:jc w:val="both"/>
        <w:rPr>
          <w:b/>
        </w:rPr>
      </w:pPr>
      <w:r>
        <w:t>Comunicación asertiva</w:t>
      </w:r>
      <w:r w:rsidR="006D3C59">
        <w:t xml:space="preserve"> en las observaciones dadas en el informe de revisión</w:t>
      </w:r>
      <w:r w:rsidR="00DF1B1E">
        <w:t>: estilo de comunicación no humillante (ej. Lástima el tiempo que está perdiendo en este trabajo. Este tema no tienen ningún interés), no escribir en mayúscula, color rojo, subrayado, negrita, resaltado con color.</w:t>
      </w:r>
    </w:p>
    <w:p w:rsidR="006D3C59" w:rsidRPr="006D3C59" w:rsidRDefault="00F93285" w:rsidP="005C7F3B">
      <w:pPr>
        <w:pStyle w:val="Prrafodelista"/>
        <w:numPr>
          <w:ilvl w:val="0"/>
          <w:numId w:val="1"/>
        </w:numPr>
        <w:spacing w:after="120"/>
        <w:ind w:left="714" w:hanging="357"/>
        <w:jc w:val="both"/>
        <w:rPr>
          <w:b/>
        </w:rPr>
      </w:pPr>
      <w:r>
        <w:t>Consolidados y avales</w:t>
      </w:r>
      <w:r w:rsidR="006D3C59">
        <w:t xml:space="preserve"> de fase I: </w:t>
      </w:r>
    </w:p>
    <w:p w:rsidR="00B73ADC" w:rsidRPr="00B73ADC" w:rsidRDefault="00B73ADC" w:rsidP="00B73ADC">
      <w:pPr>
        <w:pStyle w:val="Prrafodelista"/>
        <w:numPr>
          <w:ilvl w:val="1"/>
          <w:numId w:val="1"/>
        </w:numPr>
        <w:spacing w:after="120"/>
        <w:jc w:val="both"/>
        <w:rPr>
          <w:b/>
        </w:rPr>
      </w:pPr>
      <w:r>
        <w:t>D</w:t>
      </w:r>
      <w:r>
        <w:t>eben ponerse de acuerdo sobre cuál realizará el consolidado de los dos informes</w:t>
      </w:r>
      <w:r>
        <w:t xml:space="preserve"> e informar a la persona directora</w:t>
      </w:r>
      <w:r>
        <w:t xml:space="preserve">.  </w:t>
      </w:r>
    </w:p>
    <w:p w:rsidR="00F93285" w:rsidRPr="006D3C59" w:rsidRDefault="007138C5" w:rsidP="005C7F3B">
      <w:pPr>
        <w:pStyle w:val="Prrafodelista"/>
        <w:numPr>
          <w:ilvl w:val="1"/>
          <w:numId w:val="1"/>
        </w:numPr>
        <w:spacing w:after="120"/>
        <w:jc w:val="both"/>
        <w:rPr>
          <w:b/>
        </w:rPr>
      </w:pPr>
      <w:r>
        <w:t xml:space="preserve">Una vez </w:t>
      </w:r>
      <w:r w:rsidR="00B73ADC">
        <w:t xml:space="preserve">que ambos asesores den su aval, la persona directora envía al asesor responsable de elaborar el consolidado el aval y el informe del otro asesor para que lo consolide. </w:t>
      </w:r>
      <w:r w:rsidR="006D3C59">
        <w:t xml:space="preserve">  </w:t>
      </w:r>
    </w:p>
    <w:p w:rsidR="00F1684F" w:rsidRPr="00F1684F" w:rsidRDefault="006D3C59" w:rsidP="005C7F3B">
      <w:pPr>
        <w:pStyle w:val="Prrafodelista"/>
        <w:numPr>
          <w:ilvl w:val="1"/>
          <w:numId w:val="1"/>
        </w:numPr>
        <w:spacing w:after="120"/>
        <w:jc w:val="both"/>
        <w:rPr>
          <w:b/>
        </w:rPr>
      </w:pPr>
      <w:r>
        <w:t xml:space="preserve">La persona responsable de elaborar el consolidado: en el caso de observaciones repetidas solamente deja una de estas, si una observación solamente está un una de las revisiones (ejemplo: sobre alguna técnica) entonces </w:t>
      </w:r>
      <w:r w:rsidR="00F1684F">
        <w:t>la debe mantener en el informe.</w:t>
      </w:r>
    </w:p>
    <w:p w:rsidR="00F1684F" w:rsidRPr="00F1684F" w:rsidRDefault="00F1684F" w:rsidP="005C7F3B">
      <w:pPr>
        <w:pStyle w:val="Prrafodelista"/>
        <w:numPr>
          <w:ilvl w:val="1"/>
          <w:numId w:val="1"/>
        </w:numPr>
        <w:spacing w:after="120"/>
        <w:jc w:val="both"/>
        <w:rPr>
          <w:b/>
        </w:rPr>
      </w:pPr>
      <w:r>
        <w:t xml:space="preserve">En caso de identificar alguna observación que considere es “a todas luces” incorrecta, debe comunicarse con la otra persona </w:t>
      </w:r>
      <w:r w:rsidR="00B73ADC">
        <w:t xml:space="preserve">asesora </w:t>
      </w:r>
      <w:r>
        <w:t>para valorar la pertinencia de la misma (ejemplo: la otra persona asesora indicó que debe hacer la respectiva definición instrumental y operacional a las categorías de análisis. Lo cual es totalmente incorrecto porque les categorías de análisis solamente se definen conceptualmente.)</w:t>
      </w:r>
    </w:p>
    <w:p w:rsidR="006D3C59" w:rsidRPr="00F93285" w:rsidRDefault="00F1684F" w:rsidP="005C7F3B">
      <w:pPr>
        <w:pStyle w:val="Prrafodelista"/>
        <w:numPr>
          <w:ilvl w:val="1"/>
          <w:numId w:val="1"/>
        </w:numPr>
        <w:spacing w:after="120"/>
        <w:jc w:val="both"/>
        <w:rPr>
          <w:b/>
        </w:rPr>
      </w:pPr>
      <w:r>
        <w:t xml:space="preserve">En fase I NO debe negarse a dar el </w:t>
      </w:r>
      <w:r w:rsidRPr="00F1684F">
        <w:rPr>
          <w:b/>
        </w:rPr>
        <w:t>aval</w:t>
      </w:r>
      <w:r>
        <w:t xml:space="preserve"> si las observaciones que persisten son de formato o estilo. Pero el problema que presenta el trabajo es </w:t>
      </w:r>
      <w:r w:rsidR="00DE36FB">
        <w:t xml:space="preserve">grave en relación con validez, </w:t>
      </w:r>
      <w:r>
        <w:t>coherencia interna</w:t>
      </w:r>
      <w:r w:rsidR="00DE36FB">
        <w:t xml:space="preserve"> o metodología</w:t>
      </w:r>
      <w:r>
        <w:t xml:space="preserve"> NO debe darse el aval.    </w:t>
      </w:r>
    </w:p>
    <w:p w:rsidR="00F1684F" w:rsidRPr="00F1684F" w:rsidRDefault="00F93285" w:rsidP="005C7F3B">
      <w:pPr>
        <w:pStyle w:val="Prrafodelista"/>
        <w:numPr>
          <w:ilvl w:val="0"/>
          <w:numId w:val="1"/>
        </w:numPr>
        <w:spacing w:after="120"/>
        <w:ind w:left="714" w:hanging="357"/>
        <w:jc w:val="both"/>
        <w:rPr>
          <w:b/>
        </w:rPr>
      </w:pPr>
      <w:r>
        <w:t>Asistencia a defensas</w:t>
      </w:r>
      <w:r w:rsidR="00F1684F">
        <w:t xml:space="preserve"> (II fase)</w:t>
      </w:r>
      <w:r w:rsidR="00DF1B1E">
        <w:t xml:space="preserve">: </w:t>
      </w:r>
    </w:p>
    <w:p w:rsidR="00DF1B1E" w:rsidRPr="00F1684F" w:rsidRDefault="00DF1B1E" w:rsidP="005C7F3B">
      <w:pPr>
        <w:pStyle w:val="Prrafodelista"/>
        <w:numPr>
          <w:ilvl w:val="1"/>
          <w:numId w:val="1"/>
        </w:numPr>
        <w:spacing w:after="120"/>
        <w:jc w:val="both"/>
        <w:rPr>
          <w:b/>
        </w:rPr>
      </w:pPr>
      <w:r>
        <w:t xml:space="preserve">vestimenta, discreción, </w:t>
      </w:r>
      <w:r w:rsidR="006D3C59">
        <w:t xml:space="preserve">comentarios </w:t>
      </w:r>
      <w:r>
        <w:t>puntual</w:t>
      </w:r>
      <w:r w:rsidR="006D3C59">
        <w:t>es</w:t>
      </w:r>
      <w:r>
        <w:t xml:space="preserve"> y </w:t>
      </w:r>
      <w:r w:rsidR="006D3C59">
        <w:t xml:space="preserve">sin </w:t>
      </w:r>
      <w:r>
        <w:t>intensión de evidenciar debilidades de la dirección (son aspectos internos que se deben tratar dentro de la cátedra)</w:t>
      </w:r>
      <w:r w:rsidR="006D3C59">
        <w:t>, llegar a tiempo</w:t>
      </w:r>
      <w:r>
        <w:t xml:space="preserve">. </w:t>
      </w:r>
    </w:p>
    <w:p w:rsidR="00F1684F" w:rsidRPr="00F1684F" w:rsidRDefault="00F1684F" w:rsidP="005C7F3B">
      <w:pPr>
        <w:pStyle w:val="Prrafodelista"/>
        <w:numPr>
          <w:ilvl w:val="1"/>
          <w:numId w:val="1"/>
        </w:numPr>
        <w:spacing w:after="120"/>
        <w:jc w:val="both"/>
        <w:rPr>
          <w:b/>
        </w:rPr>
      </w:pPr>
      <w:r>
        <w:t xml:space="preserve">Es parte de sus obligaciones tal como lo establece el Reglamento General Estudiantil, por lo que en caso que le sea imposible asistir debe presentar de manera formal la respectiva justificación. </w:t>
      </w:r>
    </w:p>
    <w:p w:rsidR="00874B37" w:rsidRPr="00874B37" w:rsidRDefault="00F1684F" w:rsidP="005C7F3B">
      <w:pPr>
        <w:pStyle w:val="Prrafodelista"/>
        <w:numPr>
          <w:ilvl w:val="1"/>
          <w:numId w:val="1"/>
        </w:numPr>
        <w:spacing w:after="120"/>
        <w:jc w:val="both"/>
        <w:rPr>
          <w:b/>
        </w:rPr>
      </w:pPr>
      <w:r>
        <w:t xml:space="preserve">Se recomienda prever y coordinar y </w:t>
      </w:r>
      <w:r w:rsidR="007138C5">
        <w:t>anticipadamente co</w:t>
      </w:r>
      <w:r>
        <w:t>n sus superiores la necesidad de los tiempos para asistir a las defensas de los trabajos de II fase que les correspondió a</w:t>
      </w:r>
      <w:r w:rsidR="007138C5">
        <w:t>sesorar</w:t>
      </w:r>
      <w:r w:rsidR="00874B37">
        <w:t>.</w:t>
      </w:r>
    </w:p>
    <w:p w:rsidR="00874B37" w:rsidRPr="00874B37" w:rsidRDefault="00874B37" w:rsidP="005C7F3B">
      <w:pPr>
        <w:pStyle w:val="Prrafodelista"/>
        <w:numPr>
          <w:ilvl w:val="1"/>
          <w:numId w:val="1"/>
        </w:numPr>
        <w:spacing w:after="120"/>
        <w:jc w:val="both"/>
        <w:rPr>
          <w:b/>
        </w:rPr>
      </w:pPr>
      <w:r>
        <w:t>En caso que alguno de las defensas se deban programas extemporáneas (en el I</w:t>
      </w:r>
      <w:r w:rsidR="007138C5">
        <w:t>I</w:t>
      </w:r>
      <w:r>
        <w:t xml:space="preserve"> semestre del 2017) se les estará notificando oportunamente. </w:t>
      </w:r>
    </w:p>
    <w:p w:rsidR="00F1684F" w:rsidRPr="007138C5" w:rsidRDefault="00874B37" w:rsidP="005C7F3B">
      <w:pPr>
        <w:pStyle w:val="Prrafodelista"/>
        <w:numPr>
          <w:ilvl w:val="1"/>
          <w:numId w:val="1"/>
        </w:numPr>
        <w:spacing w:after="120"/>
        <w:jc w:val="both"/>
        <w:rPr>
          <w:b/>
        </w:rPr>
      </w:pPr>
      <w:r>
        <w:t xml:space="preserve">Una vez programada la defensa por la carrera respectiva, esta les estará convocando e informando el día y hora de la misma. </w:t>
      </w:r>
      <w:r w:rsidR="00F1684F">
        <w:t xml:space="preserve">  </w:t>
      </w:r>
    </w:p>
    <w:p w:rsidR="007138C5" w:rsidRPr="00DF1B1E" w:rsidRDefault="007138C5" w:rsidP="007138C5">
      <w:pPr>
        <w:pStyle w:val="Prrafodelista"/>
        <w:spacing w:after="120"/>
        <w:ind w:left="1077"/>
        <w:jc w:val="both"/>
        <w:rPr>
          <w:b/>
        </w:rPr>
      </w:pPr>
    </w:p>
    <w:p w:rsidR="00C41217" w:rsidRPr="00B81931" w:rsidRDefault="00B73ADC" w:rsidP="00B73ADC">
      <w:pPr>
        <w:pStyle w:val="Prrafodelista"/>
        <w:numPr>
          <w:ilvl w:val="0"/>
          <w:numId w:val="1"/>
        </w:numPr>
        <w:spacing w:after="120"/>
        <w:ind w:left="714" w:hanging="357"/>
        <w:jc w:val="both"/>
        <w:rPr>
          <w:b/>
        </w:rPr>
      </w:pPr>
      <w:r>
        <w:lastRenderedPageBreak/>
        <w:t xml:space="preserve">Prórroga: solamente solicitan prórroga aquellos estudiantes que </w:t>
      </w:r>
      <w:r w:rsidR="00C41217">
        <w:t>están en II fase y  no lograron concluir el trabajo en el II semestre</w:t>
      </w:r>
      <w:r w:rsidR="00874B37">
        <w:t>.</w:t>
      </w:r>
      <w:r w:rsidR="00C41217">
        <w:t xml:space="preserve"> Estos trabajos pueden llegar en cualquier fecha para que realicen la revisión.</w:t>
      </w:r>
    </w:p>
    <w:p w:rsidR="00B81931" w:rsidRPr="00C41217" w:rsidRDefault="00B81931" w:rsidP="00B73ADC">
      <w:pPr>
        <w:pStyle w:val="Prrafodelista"/>
        <w:numPr>
          <w:ilvl w:val="0"/>
          <w:numId w:val="1"/>
        </w:numPr>
        <w:spacing w:after="120"/>
        <w:ind w:left="714" w:hanging="357"/>
        <w:jc w:val="both"/>
        <w:rPr>
          <w:b/>
        </w:rPr>
      </w:pPr>
      <w:r>
        <w:t>Es obligatorio que todo el anteproyecto o propuestas incluyan en anexos la matriz de coherencia. Si algún trabajo no la incluye, lo devuelven a la persona directora indicando que procederán a realizar la revisión hasta que cuente con el documento.</w:t>
      </w:r>
    </w:p>
    <w:p w:rsidR="00C41217" w:rsidRPr="00C41217" w:rsidRDefault="00C41217" w:rsidP="00B73ADC">
      <w:pPr>
        <w:pStyle w:val="Prrafodelista"/>
        <w:numPr>
          <w:ilvl w:val="0"/>
          <w:numId w:val="1"/>
        </w:numPr>
        <w:spacing w:after="120"/>
        <w:ind w:left="714" w:hanging="357"/>
        <w:jc w:val="both"/>
        <w:rPr>
          <w:b/>
        </w:rPr>
      </w:pPr>
      <w:r>
        <w:t xml:space="preserve">Revisiones que les corresponde realizar a los asesores según fase: </w:t>
      </w:r>
    </w:p>
    <w:tbl>
      <w:tblPr>
        <w:tblStyle w:val="Tablaconcuadrcula"/>
        <w:tblW w:w="0" w:type="auto"/>
        <w:tblLook w:val="04A0" w:firstRow="1" w:lastRow="0" w:firstColumn="1" w:lastColumn="0" w:noHBand="0" w:noVBand="1"/>
      </w:tblPr>
      <w:tblGrid>
        <w:gridCol w:w="1101"/>
        <w:gridCol w:w="4919"/>
        <w:gridCol w:w="4920"/>
      </w:tblGrid>
      <w:tr w:rsidR="00C41217" w:rsidTr="00133BA7">
        <w:tc>
          <w:tcPr>
            <w:tcW w:w="1101" w:type="dxa"/>
          </w:tcPr>
          <w:p w:rsidR="00C41217" w:rsidRDefault="00C41217" w:rsidP="00C41217">
            <w:pPr>
              <w:spacing w:after="120"/>
              <w:jc w:val="center"/>
              <w:rPr>
                <w:b/>
              </w:rPr>
            </w:pPr>
            <w:r>
              <w:rPr>
                <w:b/>
              </w:rPr>
              <w:t>FASE</w:t>
            </w:r>
          </w:p>
        </w:tc>
        <w:tc>
          <w:tcPr>
            <w:tcW w:w="4919" w:type="dxa"/>
          </w:tcPr>
          <w:p w:rsidR="00C41217" w:rsidRDefault="00C41217" w:rsidP="00C41217">
            <w:pPr>
              <w:spacing w:after="120"/>
              <w:jc w:val="center"/>
              <w:rPr>
                <w:b/>
              </w:rPr>
            </w:pPr>
            <w:r>
              <w:rPr>
                <w:b/>
              </w:rPr>
              <w:t>Revisa</w:t>
            </w:r>
          </w:p>
        </w:tc>
        <w:tc>
          <w:tcPr>
            <w:tcW w:w="4920" w:type="dxa"/>
          </w:tcPr>
          <w:p w:rsidR="00C41217" w:rsidRDefault="00C41217" w:rsidP="00C41217">
            <w:pPr>
              <w:spacing w:after="120"/>
              <w:jc w:val="center"/>
              <w:rPr>
                <w:b/>
              </w:rPr>
            </w:pPr>
            <w:r>
              <w:rPr>
                <w:b/>
              </w:rPr>
              <w:t>Documentos que debe enviar la persona directora</w:t>
            </w:r>
          </w:p>
        </w:tc>
      </w:tr>
      <w:tr w:rsidR="00C41217" w:rsidTr="00133BA7">
        <w:tc>
          <w:tcPr>
            <w:tcW w:w="1101" w:type="dxa"/>
          </w:tcPr>
          <w:p w:rsidR="00C41217" w:rsidRDefault="00C41217" w:rsidP="00C41217">
            <w:pPr>
              <w:spacing w:after="120"/>
              <w:jc w:val="center"/>
              <w:rPr>
                <w:b/>
              </w:rPr>
            </w:pPr>
            <w:r>
              <w:t>I</w:t>
            </w:r>
          </w:p>
        </w:tc>
        <w:tc>
          <w:tcPr>
            <w:tcW w:w="4919" w:type="dxa"/>
          </w:tcPr>
          <w:p w:rsidR="00C41217" w:rsidRDefault="00C41217" w:rsidP="00C41217">
            <w:pPr>
              <w:spacing w:after="120"/>
              <w:jc w:val="both"/>
              <w:rPr>
                <w:b/>
              </w:rPr>
            </w:pPr>
            <w:r w:rsidRPr="00B81931">
              <w:rPr>
                <w:b/>
              </w:rPr>
              <w:t>Avance 3</w:t>
            </w:r>
            <w:r>
              <w:t>: A</w:t>
            </w:r>
            <w:r>
              <w:t>nteproyecto o propuesta completo con los respectivos instrumentos</w:t>
            </w:r>
            <w:r>
              <w:t>.</w:t>
            </w:r>
          </w:p>
        </w:tc>
        <w:tc>
          <w:tcPr>
            <w:tcW w:w="4920" w:type="dxa"/>
          </w:tcPr>
          <w:p w:rsidR="00C41217" w:rsidRPr="00C41217" w:rsidRDefault="00C41217" w:rsidP="00C41217">
            <w:pPr>
              <w:spacing w:after="120"/>
              <w:jc w:val="both"/>
            </w:pPr>
            <w:r>
              <w:t xml:space="preserve">Documento completo, tema aprobado por carrera, </w:t>
            </w:r>
            <w:r w:rsidR="00133BA7">
              <w:t>carta de aval, instrumento 5.</w:t>
            </w:r>
          </w:p>
        </w:tc>
      </w:tr>
      <w:tr w:rsidR="00C41217" w:rsidTr="00133BA7">
        <w:tc>
          <w:tcPr>
            <w:tcW w:w="1101" w:type="dxa"/>
          </w:tcPr>
          <w:p w:rsidR="00C41217" w:rsidRDefault="00C41217" w:rsidP="00C41217">
            <w:pPr>
              <w:spacing w:after="120"/>
              <w:jc w:val="center"/>
              <w:rPr>
                <w:b/>
              </w:rPr>
            </w:pPr>
            <w:r>
              <w:rPr>
                <w:b/>
              </w:rPr>
              <w:t>II</w:t>
            </w:r>
          </w:p>
        </w:tc>
        <w:tc>
          <w:tcPr>
            <w:tcW w:w="4919" w:type="dxa"/>
          </w:tcPr>
          <w:p w:rsidR="00C41217" w:rsidRDefault="00B81931" w:rsidP="00C41217">
            <w:pPr>
              <w:spacing w:after="120"/>
              <w:jc w:val="both"/>
            </w:pPr>
            <w:r>
              <w:rPr>
                <w:b/>
              </w:rPr>
              <w:t xml:space="preserve">Avance 1: </w:t>
            </w:r>
            <w:r>
              <w:t>incorporación de observaciones e instrumentos para recolección de datos.</w:t>
            </w:r>
          </w:p>
          <w:p w:rsidR="00B81931" w:rsidRPr="00B81931" w:rsidRDefault="00B81931" w:rsidP="00C41217">
            <w:pPr>
              <w:spacing w:after="120"/>
              <w:jc w:val="both"/>
            </w:pPr>
            <w:r w:rsidRPr="00B81931">
              <w:rPr>
                <w:b/>
              </w:rPr>
              <w:t>Avance 3</w:t>
            </w:r>
            <w:r>
              <w:t>: do</w:t>
            </w:r>
            <w:bookmarkStart w:id="0" w:name="_GoBack"/>
            <w:bookmarkEnd w:id="0"/>
            <w:r>
              <w:t xml:space="preserve">cumento completo e instrumentos </w:t>
            </w:r>
          </w:p>
        </w:tc>
        <w:tc>
          <w:tcPr>
            <w:tcW w:w="4920" w:type="dxa"/>
          </w:tcPr>
          <w:p w:rsidR="00C41217" w:rsidRPr="00B81931" w:rsidRDefault="00B81931" w:rsidP="00B81931">
            <w:pPr>
              <w:spacing w:after="120"/>
              <w:jc w:val="both"/>
            </w:pPr>
            <w:r>
              <w:t>Documento completo</w:t>
            </w:r>
            <w:r>
              <w:t>, dictamen de comisión, carta de aval, instrumento 6 o 13 (dependiendo de la modalidad).</w:t>
            </w:r>
          </w:p>
        </w:tc>
      </w:tr>
    </w:tbl>
    <w:p w:rsidR="00C41217" w:rsidRPr="00C41217" w:rsidRDefault="00C41217" w:rsidP="00C41217">
      <w:pPr>
        <w:spacing w:after="120"/>
        <w:jc w:val="both"/>
        <w:rPr>
          <w:b/>
        </w:rPr>
      </w:pPr>
    </w:p>
    <w:p w:rsidR="00D1466E" w:rsidRDefault="00D1466E" w:rsidP="005C7F3B">
      <w:pPr>
        <w:spacing w:after="120"/>
        <w:jc w:val="both"/>
        <w:rPr>
          <w:b/>
        </w:rPr>
      </w:pPr>
    </w:p>
    <w:p w:rsidR="00D1466E" w:rsidRDefault="00D1466E" w:rsidP="005C7F3B">
      <w:pPr>
        <w:spacing w:after="120"/>
        <w:jc w:val="both"/>
        <w:rPr>
          <w:b/>
        </w:rPr>
      </w:pPr>
    </w:p>
    <w:p w:rsidR="00D1466E" w:rsidRDefault="00D1466E" w:rsidP="005C7F3B">
      <w:pPr>
        <w:spacing w:after="120"/>
        <w:jc w:val="both"/>
        <w:rPr>
          <w:b/>
        </w:rPr>
      </w:pPr>
    </w:p>
    <w:p w:rsidR="00D1466E" w:rsidRDefault="00D1466E" w:rsidP="005C7F3B">
      <w:pPr>
        <w:spacing w:after="120"/>
        <w:jc w:val="both"/>
        <w:rPr>
          <w:b/>
        </w:rPr>
      </w:pPr>
    </w:p>
    <w:p w:rsidR="00D1466E" w:rsidRDefault="00D1466E" w:rsidP="005C7F3B">
      <w:pPr>
        <w:spacing w:after="120"/>
        <w:jc w:val="both"/>
        <w:rPr>
          <w:b/>
        </w:rPr>
      </w:pPr>
    </w:p>
    <w:p w:rsidR="00D1466E" w:rsidRPr="00DE36FB" w:rsidRDefault="00D1466E" w:rsidP="005C7F3B">
      <w:pPr>
        <w:spacing w:after="120"/>
        <w:jc w:val="both"/>
        <w:rPr>
          <w:b/>
        </w:rPr>
      </w:pPr>
    </w:p>
    <w:sectPr w:rsidR="00D1466E" w:rsidRPr="00DE36FB" w:rsidSect="00104827">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9E" w:rsidRDefault="00D2629E" w:rsidP="00104827">
      <w:pPr>
        <w:spacing w:after="0" w:line="240" w:lineRule="auto"/>
      </w:pPr>
      <w:r>
        <w:separator/>
      </w:r>
    </w:p>
  </w:endnote>
  <w:endnote w:type="continuationSeparator" w:id="0">
    <w:p w:rsidR="00D2629E" w:rsidRDefault="00D2629E" w:rsidP="0010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9E" w:rsidRDefault="00D2629E" w:rsidP="00104827">
      <w:pPr>
        <w:spacing w:after="0" w:line="240" w:lineRule="auto"/>
      </w:pPr>
      <w:r>
        <w:separator/>
      </w:r>
    </w:p>
  </w:footnote>
  <w:footnote w:type="continuationSeparator" w:id="0">
    <w:p w:rsidR="00D2629E" w:rsidRDefault="00D2629E" w:rsidP="0010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71" w:type="dxa"/>
      <w:tblBorders>
        <w:insideH w:val="single" w:sz="8" w:space="0" w:color="auto"/>
        <w:insideV w:val="single" w:sz="2" w:space="0" w:color="auto"/>
      </w:tblBorders>
      <w:tblLayout w:type="fixed"/>
      <w:tblCellMar>
        <w:top w:w="28" w:type="dxa"/>
        <w:bottom w:w="28" w:type="dxa"/>
      </w:tblCellMar>
      <w:tblLook w:val="04A0" w:firstRow="1" w:lastRow="0" w:firstColumn="1" w:lastColumn="0" w:noHBand="0" w:noVBand="1"/>
    </w:tblPr>
    <w:tblGrid>
      <w:gridCol w:w="1735"/>
      <w:gridCol w:w="9636"/>
    </w:tblGrid>
    <w:tr w:rsidR="00104827" w:rsidRPr="007E438E" w:rsidTr="00104827">
      <w:trPr>
        <w:trHeight w:val="1249"/>
      </w:trPr>
      <w:tc>
        <w:tcPr>
          <w:tcW w:w="1735" w:type="dxa"/>
          <w:shd w:val="clear" w:color="auto" w:fill="auto"/>
        </w:tcPr>
        <w:p w:rsidR="00104827" w:rsidRPr="00F21F61" w:rsidRDefault="00104827" w:rsidP="00B14FDF">
          <w:pPr>
            <w:tabs>
              <w:tab w:val="left" w:pos="1560"/>
              <w:tab w:val="center" w:pos="4419"/>
              <w:tab w:val="right" w:pos="8838"/>
            </w:tabs>
            <w:spacing w:after="0" w:line="240" w:lineRule="auto"/>
            <w:rPr>
              <w:rFonts w:ascii="Calibri" w:eastAsia="Calibri" w:hAnsi="Calibri" w:cs="Times New Roman"/>
              <w:sz w:val="24"/>
              <w:lang w:eastAsia="es-CR"/>
            </w:rPr>
          </w:pPr>
          <w:r w:rsidRPr="00F21F61">
            <w:rPr>
              <w:rFonts w:ascii="Calibri" w:eastAsia="Calibri" w:hAnsi="Calibri" w:cs="Times New Roman"/>
              <w:noProof/>
              <w:sz w:val="24"/>
              <w:lang w:eastAsia="es-CR"/>
            </w:rPr>
            <w:drawing>
              <wp:inline distT="0" distB="0" distL="0" distR="0" wp14:anchorId="28750B9E" wp14:editId="2D4B68F1">
                <wp:extent cx="790575" cy="1028700"/>
                <wp:effectExtent l="0" t="0" r="0" b="0"/>
                <wp:docPr id="2" name="Imagen 2" descr="EscuelaEducac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Educacion-0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tc>
      <w:tc>
        <w:tcPr>
          <w:tcW w:w="9636" w:type="dxa"/>
          <w:shd w:val="clear" w:color="auto" w:fill="auto"/>
          <w:vAlign w:val="center"/>
        </w:tcPr>
        <w:p w:rsidR="00104827" w:rsidRPr="00044BA0" w:rsidRDefault="00104827" w:rsidP="00B14FDF">
          <w:pPr>
            <w:tabs>
              <w:tab w:val="left" w:pos="1560"/>
              <w:tab w:val="center" w:pos="4419"/>
              <w:tab w:val="right" w:pos="8838"/>
            </w:tabs>
            <w:spacing w:after="0" w:line="240" w:lineRule="auto"/>
            <w:rPr>
              <w:rFonts w:ascii="Arial" w:eastAsia="Calibri" w:hAnsi="Arial" w:cs="Arial"/>
              <w:b/>
              <w:sz w:val="24"/>
              <w:szCs w:val="24"/>
              <w:lang w:eastAsia="es-CR"/>
            </w:rPr>
          </w:pPr>
          <w:r w:rsidRPr="00044BA0">
            <w:rPr>
              <w:rFonts w:ascii="Arial" w:eastAsia="Calibri" w:hAnsi="Arial" w:cs="Arial"/>
              <w:b/>
              <w:sz w:val="24"/>
              <w:szCs w:val="24"/>
              <w:lang w:eastAsia="es-CR"/>
            </w:rPr>
            <w:t>UNIVERSIDAD ESTATAL A DISTANCIA</w:t>
          </w:r>
        </w:p>
        <w:p w:rsidR="00104827" w:rsidRPr="00044BA0" w:rsidRDefault="00104827" w:rsidP="00B14FDF">
          <w:pPr>
            <w:tabs>
              <w:tab w:val="left" w:pos="1560"/>
              <w:tab w:val="center" w:pos="4419"/>
              <w:tab w:val="right" w:pos="8838"/>
            </w:tabs>
            <w:spacing w:after="0" w:line="240" w:lineRule="auto"/>
            <w:rPr>
              <w:rFonts w:ascii="Arial" w:eastAsia="Calibri" w:hAnsi="Arial" w:cs="Arial"/>
              <w:sz w:val="24"/>
              <w:szCs w:val="24"/>
              <w:lang w:eastAsia="es-CR"/>
            </w:rPr>
          </w:pPr>
          <w:r w:rsidRPr="00044BA0">
            <w:rPr>
              <w:rFonts w:ascii="Arial" w:eastAsia="Calibri" w:hAnsi="Arial" w:cs="Arial"/>
              <w:sz w:val="24"/>
              <w:szCs w:val="24"/>
              <w:lang w:eastAsia="es-CR"/>
            </w:rPr>
            <w:t>ESCUELA DE CIENCIAS DE LA EDUCACIÓN</w:t>
          </w:r>
        </w:p>
        <w:p w:rsidR="00104827" w:rsidRPr="00044BA0" w:rsidRDefault="00104827" w:rsidP="00B14FDF">
          <w:pPr>
            <w:pBdr>
              <w:bottom w:val="single" w:sz="4" w:space="1" w:color="auto"/>
            </w:pBdr>
            <w:spacing w:after="0" w:line="240" w:lineRule="auto"/>
            <w:rPr>
              <w:rFonts w:ascii="Arial" w:eastAsia="Calibri" w:hAnsi="Arial" w:cs="Arial"/>
              <w:sz w:val="24"/>
              <w:szCs w:val="24"/>
              <w:lang w:eastAsia="es-CR"/>
            </w:rPr>
          </w:pPr>
          <w:r w:rsidRPr="00044BA0">
            <w:rPr>
              <w:rFonts w:ascii="Arial" w:eastAsia="Calibri" w:hAnsi="Arial" w:cs="Arial"/>
              <w:sz w:val="24"/>
              <w:szCs w:val="24"/>
              <w:lang w:eastAsia="es-CR"/>
            </w:rPr>
            <w:t>CENTRO DE INVESTIGACIONES EN EDUCACIÓN (CINED)</w:t>
          </w:r>
        </w:p>
        <w:p w:rsidR="00104827" w:rsidRPr="00044BA0" w:rsidRDefault="00104827" w:rsidP="00B14FDF">
          <w:pPr>
            <w:pBdr>
              <w:bottom w:val="single" w:sz="4" w:space="1" w:color="auto"/>
            </w:pBdr>
            <w:spacing w:after="0" w:line="240" w:lineRule="auto"/>
            <w:rPr>
              <w:rFonts w:ascii="Arial" w:eastAsia="Calibri" w:hAnsi="Arial" w:cs="Arial"/>
              <w:sz w:val="24"/>
              <w:lang w:eastAsia="es-CR"/>
            </w:rPr>
          </w:pPr>
          <w:r w:rsidRPr="00044BA0">
            <w:rPr>
              <w:rFonts w:ascii="Arial" w:eastAsia="Calibri" w:hAnsi="Arial" w:cs="Arial"/>
              <w:sz w:val="24"/>
              <w:szCs w:val="24"/>
              <w:lang w:eastAsia="es-CR"/>
            </w:rPr>
            <w:t xml:space="preserve">CATEDRA DE INVESTIGACION PARA TRABAJOS FINALES DE GRADUCACIÓN </w:t>
          </w:r>
        </w:p>
      </w:tc>
    </w:tr>
  </w:tbl>
  <w:p w:rsidR="00104827" w:rsidRDefault="001048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F85"/>
    <w:multiLevelType w:val="hybridMultilevel"/>
    <w:tmpl w:val="86FE544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3BAF6A92"/>
    <w:multiLevelType w:val="hybridMultilevel"/>
    <w:tmpl w:val="59381D36"/>
    <w:lvl w:ilvl="0" w:tplc="140A000D">
      <w:start w:val="1"/>
      <w:numFmt w:val="bullet"/>
      <w:lvlText w:val=""/>
      <w:lvlJc w:val="left"/>
      <w:pPr>
        <w:ind w:left="1074" w:hanging="360"/>
      </w:pPr>
      <w:rPr>
        <w:rFonts w:ascii="Wingdings" w:hAnsi="Wingdings"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2" w15:restartNumberingAfterBreak="0">
    <w:nsid w:val="3F8F0995"/>
    <w:multiLevelType w:val="hybridMultilevel"/>
    <w:tmpl w:val="6E1EF542"/>
    <w:lvl w:ilvl="0" w:tplc="140A000F">
      <w:start w:val="1"/>
      <w:numFmt w:val="decimal"/>
      <w:lvlText w:val="%1."/>
      <w:lvlJc w:val="left"/>
      <w:pPr>
        <w:ind w:left="357" w:hanging="360"/>
      </w:pPr>
      <w:rPr>
        <w:rFonts w:hint="default"/>
      </w:rPr>
    </w:lvl>
    <w:lvl w:ilvl="1" w:tplc="140A0019">
      <w:start w:val="1"/>
      <w:numFmt w:val="lowerLetter"/>
      <w:lvlText w:val="%2."/>
      <w:lvlJc w:val="left"/>
      <w:pPr>
        <w:ind w:left="1077" w:hanging="360"/>
      </w:pPr>
    </w:lvl>
    <w:lvl w:ilvl="2" w:tplc="140A001B">
      <w:start w:val="1"/>
      <w:numFmt w:val="lowerRoman"/>
      <w:lvlText w:val="%3."/>
      <w:lvlJc w:val="right"/>
      <w:pPr>
        <w:ind w:left="1797" w:hanging="180"/>
      </w:pPr>
    </w:lvl>
    <w:lvl w:ilvl="3" w:tplc="140A000F" w:tentative="1">
      <w:start w:val="1"/>
      <w:numFmt w:val="decimal"/>
      <w:lvlText w:val="%4."/>
      <w:lvlJc w:val="left"/>
      <w:pPr>
        <w:ind w:left="2517" w:hanging="360"/>
      </w:pPr>
    </w:lvl>
    <w:lvl w:ilvl="4" w:tplc="140A0019" w:tentative="1">
      <w:start w:val="1"/>
      <w:numFmt w:val="lowerLetter"/>
      <w:lvlText w:val="%5."/>
      <w:lvlJc w:val="left"/>
      <w:pPr>
        <w:ind w:left="3237" w:hanging="360"/>
      </w:pPr>
    </w:lvl>
    <w:lvl w:ilvl="5" w:tplc="140A001B" w:tentative="1">
      <w:start w:val="1"/>
      <w:numFmt w:val="lowerRoman"/>
      <w:lvlText w:val="%6."/>
      <w:lvlJc w:val="right"/>
      <w:pPr>
        <w:ind w:left="3957" w:hanging="180"/>
      </w:pPr>
    </w:lvl>
    <w:lvl w:ilvl="6" w:tplc="140A000F" w:tentative="1">
      <w:start w:val="1"/>
      <w:numFmt w:val="decimal"/>
      <w:lvlText w:val="%7."/>
      <w:lvlJc w:val="left"/>
      <w:pPr>
        <w:ind w:left="4677" w:hanging="360"/>
      </w:pPr>
    </w:lvl>
    <w:lvl w:ilvl="7" w:tplc="140A0019" w:tentative="1">
      <w:start w:val="1"/>
      <w:numFmt w:val="lowerLetter"/>
      <w:lvlText w:val="%8."/>
      <w:lvlJc w:val="left"/>
      <w:pPr>
        <w:ind w:left="5397" w:hanging="360"/>
      </w:pPr>
    </w:lvl>
    <w:lvl w:ilvl="8" w:tplc="140A001B" w:tentative="1">
      <w:start w:val="1"/>
      <w:numFmt w:val="lowerRoman"/>
      <w:lvlText w:val="%9."/>
      <w:lvlJc w:val="right"/>
      <w:pPr>
        <w:ind w:left="6117" w:hanging="180"/>
      </w:pPr>
    </w:lvl>
  </w:abstractNum>
  <w:abstractNum w:abstractNumId="3" w15:restartNumberingAfterBreak="0">
    <w:nsid w:val="52F0027F"/>
    <w:multiLevelType w:val="hybridMultilevel"/>
    <w:tmpl w:val="9F70FE2C"/>
    <w:lvl w:ilvl="0" w:tplc="140A0019">
      <w:start w:val="3"/>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6F465A1"/>
    <w:multiLevelType w:val="hybridMultilevel"/>
    <w:tmpl w:val="4F6C3B44"/>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AA"/>
    <w:rsid w:val="00051333"/>
    <w:rsid w:val="0005466F"/>
    <w:rsid w:val="000F48FB"/>
    <w:rsid w:val="00104827"/>
    <w:rsid w:val="00110DDC"/>
    <w:rsid w:val="00126300"/>
    <w:rsid w:val="00133BA7"/>
    <w:rsid w:val="001809BB"/>
    <w:rsid w:val="00191E16"/>
    <w:rsid w:val="00237BAB"/>
    <w:rsid w:val="004311B7"/>
    <w:rsid w:val="00483C64"/>
    <w:rsid w:val="004B319A"/>
    <w:rsid w:val="004D3EC1"/>
    <w:rsid w:val="004F39D7"/>
    <w:rsid w:val="005B77CB"/>
    <w:rsid w:val="005C2AAA"/>
    <w:rsid w:val="005C7F3B"/>
    <w:rsid w:val="00613D33"/>
    <w:rsid w:val="006472E0"/>
    <w:rsid w:val="00665390"/>
    <w:rsid w:val="006B2B0F"/>
    <w:rsid w:val="006D3C59"/>
    <w:rsid w:val="007138C5"/>
    <w:rsid w:val="00757AE1"/>
    <w:rsid w:val="007F2C3F"/>
    <w:rsid w:val="00843848"/>
    <w:rsid w:val="00864515"/>
    <w:rsid w:val="00874B37"/>
    <w:rsid w:val="008F2511"/>
    <w:rsid w:val="00904683"/>
    <w:rsid w:val="00954E97"/>
    <w:rsid w:val="009D2852"/>
    <w:rsid w:val="009E03F8"/>
    <w:rsid w:val="00A032F4"/>
    <w:rsid w:val="00B276D4"/>
    <w:rsid w:val="00B364D9"/>
    <w:rsid w:val="00B564A4"/>
    <w:rsid w:val="00B63A43"/>
    <w:rsid w:val="00B72C3E"/>
    <w:rsid w:val="00B73ADC"/>
    <w:rsid w:val="00B81931"/>
    <w:rsid w:val="00C41217"/>
    <w:rsid w:val="00D1466E"/>
    <w:rsid w:val="00D2629E"/>
    <w:rsid w:val="00DE36FB"/>
    <w:rsid w:val="00DF1B1E"/>
    <w:rsid w:val="00EB025C"/>
    <w:rsid w:val="00F1684F"/>
    <w:rsid w:val="00F2448A"/>
    <w:rsid w:val="00F867DC"/>
    <w:rsid w:val="00F932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5F0BD-7DAB-4D60-88D5-1D80C6BA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3285"/>
    <w:pPr>
      <w:ind w:left="720"/>
      <w:contextualSpacing/>
    </w:pPr>
  </w:style>
  <w:style w:type="paragraph" w:styleId="Encabezado">
    <w:name w:val="header"/>
    <w:basedOn w:val="Normal"/>
    <w:link w:val="EncabezadoCar"/>
    <w:uiPriority w:val="99"/>
    <w:unhideWhenUsed/>
    <w:rsid w:val="00104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827"/>
  </w:style>
  <w:style w:type="paragraph" w:styleId="Piedepgina">
    <w:name w:val="footer"/>
    <w:basedOn w:val="Normal"/>
    <w:link w:val="PiedepginaCar"/>
    <w:uiPriority w:val="99"/>
    <w:unhideWhenUsed/>
    <w:rsid w:val="00104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827"/>
  </w:style>
  <w:style w:type="paragraph" w:styleId="Textodeglobo">
    <w:name w:val="Balloon Text"/>
    <w:basedOn w:val="Normal"/>
    <w:link w:val="TextodegloboCar"/>
    <w:uiPriority w:val="99"/>
    <w:semiHidden/>
    <w:unhideWhenUsed/>
    <w:rsid w:val="00104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827"/>
    <w:rPr>
      <w:rFonts w:ascii="Tahoma" w:hAnsi="Tahoma" w:cs="Tahoma"/>
      <w:sz w:val="16"/>
      <w:szCs w:val="16"/>
    </w:rPr>
  </w:style>
  <w:style w:type="paragraph" w:customStyle="1" w:styleId="textopredeterminado">
    <w:name w:val="textopredeterminado"/>
    <w:basedOn w:val="Normal"/>
    <w:rsid w:val="006472E0"/>
    <w:pPr>
      <w:spacing w:before="100" w:beforeAutospacing="1" w:after="100" w:afterAutospacing="1" w:line="240" w:lineRule="auto"/>
    </w:pPr>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843848"/>
    <w:pPr>
      <w:spacing w:after="0" w:line="240" w:lineRule="auto"/>
    </w:pPr>
    <w:rPr>
      <w:rFonts w:ascii="Times New Roman" w:hAnsi="Times New Roman" w:cs="Times New Roman"/>
      <w:sz w:val="24"/>
      <w:szCs w:val="24"/>
      <w:lang w:eastAsia="es-CR"/>
    </w:rPr>
  </w:style>
  <w:style w:type="table" w:styleId="Tablaconcuadrcula">
    <w:name w:val="Table Grid"/>
    <w:basedOn w:val="Tablanormal"/>
    <w:uiPriority w:val="59"/>
    <w:rsid w:val="00C4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4330">
      <w:bodyDiv w:val="1"/>
      <w:marLeft w:val="0"/>
      <w:marRight w:val="0"/>
      <w:marTop w:val="0"/>
      <w:marBottom w:val="0"/>
      <w:divBdr>
        <w:top w:val="none" w:sz="0" w:space="0" w:color="auto"/>
        <w:left w:val="none" w:sz="0" w:space="0" w:color="auto"/>
        <w:bottom w:val="none" w:sz="0" w:space="0" w:color="auto"/>
        <w:right w:val="none" w:sz="0" w:space="0" w:color="auto"/>
      </w:divBdr>
    </w:div>
    <w:div w:id="584726792">
      <w:bodyDiv w:val="1"/>
      <w:marLeft w:val="0"/>
      <w:marRight w:val="0"/>
      <w:marTop w:val="0"/>
      <w:marBottom w:val="0"/>
      <w:divBdr>
        <w:top w:val="none" w:sz="0" w:space="0" w:color="auto"/>
        <w:left w:val="none" w:sz="0" w:space="0" w:color="auto"/>
        <w:bottom w:val="none" w:sz="0" w:space="0" w:color="auto"/>
        <w:right w:val="none" w:sz="0" w:space="0" w:color="auto"/>
      </w:divBdr>
    </w:div>
    <w:div w:id="859901702">
      <w:bodyDiv w:val="1"/>
      <w:marLeft w:val="0"/>
      <w:marRight w:val="0"/>
      <w:marTop w:val="0"/>
      <w:marBottom w:val="0"/>
      <w:divBdr>
        <w:top w:val="none" w:sz="0" w:space="0" w:color="auto"/>
        <w:left w:val="none" w:sz="0" w:space="0" w:color="auto"/>
        <w:bottom w:val="none" w:sz="0" w:space="0" w:color="auto"/>
        <w:right w:val="none" w:sz="0" w:space="0" w:color="auto"/>
      </w:divBdr>
    </w:div>
    <w:div w:id="951010973">
      <w:bodyDiv w:val="1"/>
      <w:marLeft w:val="0"/>
      <w:marRight w:val="0"/>
      <w:marTop w:val="0"/>
      <w:marBottom w:val="0"/>
      <w:divBdr>
        <w:top w:val="none" w:sz="0" w:space="0" w:color="auto"/>
        <w:left w:val="none" w:sz="0" w:space="0" w:color="auto"/>
        <w:bottom w:val="none" w:sz="0" w:space="0" w:color="auto"/>
        <w:right w:val="none" w:sz="0" w:space="0" w:color="auto"/>
      </w:divBdr>
    </w:div>
    <w:div w:id="1077825323">
      <w:bodyDiv w:val="1"/>
      <w:marLeft w:val="0"/>
      <w:marRight w:val="0"/>
      <w:marTop w:val="0"/>
      <w:marBottom w:val="0"/>
      <w:divBdr>
        <w:top w:val="none" w:sz="0" w:space="0" w:color="auto"/>
        <w:left w:val="none" w:sz="0" w:space="0" w:color="auto"/>
        <w:bottom w:val="none" w:sz="0" w:space="0" w:color="auto"/>
        <w:right w:val="none" w:sz="0" w:space="0" w:color="auto"/>
      </w:divBdr>
    </w:div>
    <w:div w:id="1217812862">
      <w:bodyDiv w:val="1"/>
      <w:marLeft w:val="0"/>
      <w:marRight w:val="0"/>
      <w:marTop w:val="0"/>
      <w:marBottom w:val="0"/>
      <w:divBdr>
        <w:top w:val="none" w:sz="0" w:space="0" w:color="auto"/>
        <w:left w:val="none" w:sz="0" w:space="0" w:color="auto"/>
        <w:bottom w:val="none" w:sz="0" w:space="0" w:color="auto"/>
        <w:right w:val="none" w:sz="0" w:space="0" w:color="auto"/>
      </w:divBdr>
    </w:div>
    <w:div w:id="19233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Melitza</dc:creator>
  <cp:lastModifiedBy>Laura Jimenez Aragón</cp:lastModifiedBy>
  <cp:revision>2</cp:revision>
  <dcterms:created xsi:type="dcterms:W3CDTF">2017-05-19T22:48:00Z</dcterms:created>
  <dcterms:modified xsi:type="dcterms:W3CDTF">2017-05-19T22:48:00Z</dcterms:modified>
</cp:coreProperties>
</file>